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5D276">
      <w:pPr>
        <w:spacing w:line="360" w:lineRule="auto"/>
        <w:jc w:val="center"/>
        <w:rPr>
          <w:rFonts w:hint="eastAsia" w:ascii="宋体" w:hAnsi="宋体"/>
          <w:kern w:val="0"/>
          <w:sz w:val="32"/>
          <w:szCs w:val="32"/>
          <w:lang w:val="zh-CN"/>
        </w:rPr>
      </w:pPr>
      <w:bookmarkStart w:id="0" w:name="_GoBack"/>
      <w:bookmarkEnd w:id="0"/>
      <w:r>
        <w:rPr>
          <w:rFonts w:ascii="宋体" w:hAnsi="宋体"/>
          <w:kern w:val="0"/>
          <w:sz w:val="32"/>
          <w:szCs w:val="32"/>
          <w:lang w:val="zh-CN"/>
        </w:rPr>
        <w:t>评审方法及评分标准</w:t>
      </w:r>
    </w:p>
    <w:p w14:paraId="7FD7DADF">
      <w:pPr>
        <w:spacing w:line="360" w:lineRule="auto"/>
        <w:ind w:firstLine="420" w:firstLineChars="200"/>
      </w:pPr>
      <w:r>
        <w:rPr>
          <w:rFonts w:hint="eastAsia"/>
        </w:rPr>
        <w:t>一、评审办法</w:t>
      </w:r>
    </w:p>
    <w:p w14:paraId="16F48D55">
      <w:pPr>
        <w:spacing w:line="360" w:lineRule="auto"/>
        <w:ind w:firstLine="420" w:firstLineChars="200"/>
      </w:pPr>
      <w:r>
        <w:rPr>
          <w:rFonts w:hint="eastAsia"/>
        </w:rPr>
        <w:t>1、本次磋商采用综合评分法，即在响应文件满足磋商文件全部实质性要求且按评审因素的量化指标评审得分最高的供应商为成交候选供应商。采购人授权磋商小组直接确定成交供应商。</w:t>
      </w:r>
    </w:p>
    <w:p w14:paraId="3EDEB425">
      <w:pPr>
        <w:spacing w:line="360" w:lineRule="auto"/>
        <w:ind w:firstLine="420" w:firstLineChars="200"/>
      </w:pPr>
      <w:r>
        <w:rPr>
          <w:rFonts w:hint="eastAsia"/>
        </w:rPr>
        <w:t>2、磋商小组各成员审查每份响应文件是否实质响应了采购文件的要求，未实质性响应的响应文件将被拒绝，也不进行评审。</w:t>
      </w:r>
    </w:p>
    <w:p w14:paraId="00B1C71D">
      <w:pPr>
        <w:spacing w:line="360" w:lineRule="auto"/>
        <w:ind w:firstLine="420" w:firstLineChars="200"/>
      </w:pPr>
      <w:r>
        <w:rPr>
          <w:rFonts w:hint="eastAsia"/>
        </w:rPr>
        <w:t>3、磋商小组各成员独立对每个进入打分程序的响应文件以打分的形式进行评审和评价。对评委的评分（除价格分外）进行统计汇总，直接算术平均计算出每个磋商供应商的得分，加上价格得分即为每个磋商供应商的综合得分。</w:t>
      </w:r>
    </w:p>
    <w:p w14:paraId="3F304494">
      <w:pPr>
        <w:spacing w:line="360" w:lineRule="auto"/>
        <w:ind w:firstLine="420" w:firstLineChars="200"/>
      </w:pPr>
      <w:r>
        <w:rPr>
          <w:rFonts w:hint="eastAsia"/>
        </w:rPr>
        <w:t>4、如出现评审总得分最高的磋商供应商有两个或两个以上的，以磋商报价较低者优先作为成交候选人，如果磋商报价也相同的，则由采购人组织以抽签方式确定成交候选人。</w:t>
      </w:r>
    </w:p>
    <w:p w14:paraId="39C3BF94">
      <w:pPr>
        <w:spacing w:line="360" w:lineRule="auto"/>
        <w:ind w:firstLine="420" w:firstLineChars="200"/>
        <w:rPr>
          <w:rFonts w:hint="eastAsia" w:ascii="宋体" w:hAnsi="宋体" w:cs="Arial"/>
          <w:szCs w:val="21"/>
        </w:rPr>
      </w:pPr>
      <w:r>
        <w:rPr>
          <w:rFonts w:hint="eastAsia" w:ascii="宋体" w:hAnsi="宋体" w:cs="Arial"/>
          <w:szCs w:val="21"/>
        </w:rPr>
        <w:t>二、评分标准</w:t>
      </w:r>
    </w:p>
    <w:p w14:paraId="25995F98">
      <w:pPr>
        <w:spacing w:line="360" w:lineRule="auto"/>
        <w:ind w:firstLine="422" w:firstLineChars="200"/>
        <w:rPr>
          <w:rFonts w:hint="eastAsia" w:ascii="宋体" w:hAnsi="宋体" w:cs="Arial"/>
          <w:b/>
          <w:bCs/>
          <w:szCs w:val="21"/>
        </w:rPr>
      </w:pPr>
      <w:r>
        <w:rPr>
          <w:rFonts w:hint="eastAsia" w:ascii="宋体" w:hAnsi="宋体" w:cs="Arial"/>
          <w:b/>
          <w:bCs/>
          <w:szCs w:val="21"/>
        </w:rPr>
        <w:t>(一)价格基准分：30分</w:t>
      </w:r>
    </w:p>
    <w:p w14:paraId="07F500FF">
      <w:pPr>
        <w:spacing w:line="360" w:lineRule="auto"/>
        <w:ind w:firstLine="420" w:firstLineChars="200"/>
        <w:rPr>
          <w:rFonts w:hint="eastAsia" w:ascii="宋体" w:hAnsi="宋体" w:cs="Arial"/>
          <w:szCs w:val="21"/>
        </w:rPr>
      </w:pPr>
      <w:r>
        <w:rPr>
          <w:rFonts w:hint="eastAsia" w:ascii="宋体" w:hAnsi="宋体" w:cs="Arial"/>
          <w:szCs w:val="21"/>
        </w:rPr>
        <w:t>第一步：磋商报价低于或等于预算价格的，为有效磋商报价。超预算的磋商报价文件为未实质性响应文件，不参与评审。</w:t>
      </w:r>
    </w:p>
    <w:p w14:paraId="5D33E1A5">
      <w:pPr>
        <w:spacing w:line="360" w:lineRule="auto"/>
        <w:ind w:firstLine="420" w:firstLineChars="200"/>
        <w:rPr>
          <w:rFonts w:hint="eastAsia" w:ascii="宋体" w:hAnsi="宋体" w:cs="Arial"/>
          <w:szCs w:val="21"/>
        </w:rPr>
      </w:pPr>
      <w:r>
        <w:rPr>
          <w:rFonts w:hint="eastAsia" w:ascii="宋体" w:hAnsi="宋体" w:cs="Arial"/>
          <w:szCs w:val="21"/>
        </w:rPr>
        <w:t>第二步：在所有有效磋商报价中满足采购文件要求，且磋商价格最低的磋商报价为评标基准价，其价格分为30分，其他磋商供应商的价格分按照下列公式计算（计算结果四舍五入保留两位小数）</w:t>
      </w:r>
    </w:p>
    <w:p w14:paraId="2A645AD3">
      <w:pPr>
        <w:spacing w:line="360" w:lineRule="auto"/>
        <w:ind w:firstLine="420" w:firstLineChars="200"/>
        <w:rPr>
          <w:rFonts w:hint="eastAsia" w:ascii="宋体" w:hAnsi="宋体" w:cs="Arial"/>
          <w:szCs w:val="21"/>
        </w:rPr>
      </w:pPr>
      <w:r>
        <w:rPr>
          <w:rFonts w:hint="eastAsia" w:ascii="宋体" w:hAnsi="宋体" w:cs="Arial"/>
          <w:szCs w:val="21"/>
        </w:rPr>
        <w:t>磋商报价得分＝（评标基准价/磋商报价）×30%×100</w:t>
      </w:r>
    </w:p>
    <w:p w14:paraId="66FD08FF">
      <w:pPr>
        <w:spacing w:line="360" w:lineRule="auto"/>
        <w:ind w:firstLine="422" w:firstLineChars="200"/>
        <w:rPr>
          <w:rFonts w:hint="eastAsia" w:ascii="宋体" w:hAnsi="宋体" w:cs="Arial"/>
          <w:b/>
          <w:bCs/>
          <w:szCs w:val="21"/>
        </w:rPr>
      </w:pPr>
      <w:r>
        <w:rPr>
          <w:rFonts w:hint="eastAsia" w:ascii="宋体" w:hAnsi="宋体" w:cs="Arial"/>
          <w:b/>
          <w:bCs/>
          <w:szCs w:val="21"/>
        </w:rPr>
        <w:t>（二）实施服务方案比较：48分</w:t>
      </w:r>
    </w:p>
    <w:p w14:paraId="144F0F42">
      <w:pPr>
        <w:spacing w:line="360" w:lineRule="auto"/>
        <w:ind w:firstLine="420" w:firstLineChars="200"/>
        <w:rPr>
          <w:rFonts w:hint="eastAsia" w:ascii="宋体" w:hAnsi="宋体" w:cs="Arial"/>
          <w:szCs w:val="21"/>
        </w:rPr>
      </w:pPr>
      <w:r>
        <w:rPr>
          <w:rFonts w:hint="eastAsia" w:ascii="宋体" w:hAnsi="宋体" w:cs="Arial"/>
          <w:szCs w:val="21"/>
        </w:rPr>
        <w:t>1、项目总体方案比较（最高为9分）：</w:t>
      </w:r>
    </w:p>
    <w:p w14:paraId="38090AAE">
      <w:pPr>
        <w:spacing w:line="360" w:lineRule="auto"/>
        <w:ind w:firstLine="420" w:firstLineChars="200"/>
        <w:rPr>
          <w:rFonts w:hint="eastAsia" w:ascii="宋体" w:hAnsi="宋体" w:cs="Arial"/>
          <w:szCs w:val="21"/>
        </w:rPr>
      </w:pPr>
      <w:r>
        <w:rPr>
          <w:rFonts w:hint="eastAsia" w:ascii="宋体" w:hAnsi="宋体" w:cs="Arial"/>
          <w:szCs w:val="21"/>
        </w:rPr>
        <w:t>项目概述、总体安排、实施部署、项目组织管理机构等健全、合理、规范、高效，可操作性强，内容描述详细的得9分；可操作性一般，内容描述较详细的得6分；可操作性差，内容描述较少的得3分；没有描述的不得分。</w:t>
      </w:r>
    </w:p>
    <w:p w14:paraId="5677563A">
      <w:pPr>
        <w:spacing w:line="360" w:lineRule="auto"/>
        <w:ind w:firstLine="420" w:firstLineChars="200"/>
        <w:rPr>
          <w:rFonts w:hint="eastAsia" w:ascii="宋体" w:hAnsi="宋体" w:cs="Arial"/>
          <w:szCs w:val="21"/>
        </w:rPr>
      </w:pPr>
      <w:r>
        <w:rPr>
          <w:rFonts w:hint="eastAsia" w:ascii="宋体" w:hAnsi="宋体" w:cs="Arial"/>
          <w:szCs w:val="21"/>
        </w:rPr>
        <w:t>2、项目的重点、难点、解决方案比较（9分）</w:t>
      </w:r>
    </w:p>
    <w:p w14:paraId="5DBEB157">
      <w:pPr>
        <w:spacing w:line="360" w:lineRule="auto"/>
        <w:ind w:firstLine="420" w:firstLineChars="200"/>
        <w:rPr>
          <w:rFonts w:ascii="宋体" w:hAnsi="宋体" w:cs="Arial"/>
          <w:szCs w:val="21"/>
        </w:rPr>
      </w:pPr>
      <w:r>
        <w:rPr>
          <w:rFonts w:hint="eastAsia" w:ascii="宋体" w:hAnsi="宋体" w:cs="Arial"/>
          <w:szCs w:val="21"/>
        </w:rPr>
        <w:t>排水管网日常维护主要作业方案包含维护清单内所有内容、关键实施技术、工艺及项目实施的重点、难点和解决方案齐全、科学合理、操作性强、规范、高效，内容描述详细的得9分；可操作性一般，内容描述较详细的得6分；可操作性差，内容描述粗略的得3分；没有描述的不得分。</w:t>
      </w:r>
    </w:p>
    <w:p w14:paraId="1606007A">
      <w:pPr>
        <w:spacing w:line="360" w:lineRule="auto"/>
        <w:ind w:firstLine="420" w:firstLineChars="200"/>
        <w:rPr>
          <w:rFonts w:hint="eastAsia" w:ascii="宋体" w:hAnsi="宋体" w:cs="Arial"/>
          <w:szCs w:val="21"/>
        </w:rPr>
      </w:pPr>
      <w:r>
        <w:rPr>
          <w:rFonts w:hint="eastAsia" w:ascii="宋体" w:hAnsi="宋体" w:cs="Arial"/>
          <w:szCs w:val="21"/>
        </w:rPr>
        <w:t>3、工作计划比较（最高为9分）：</w:t>
      </w:r>
    </w:p>
    <w:p w14:paraId="7F4D0981">
      <w:pPr>
        <w:spacing w:line="360" w:lineRule="auto"/>
        <w:ind w:firstLine="420" w:firstLineChars="200"/>
        <w:rPr>
          <w:rFonts w:hint="eastAsia" w:ascii="宋体" w:hAnsi="宋体" w:cs="Arial"/>
          <w:szCs w:val="21"/>
        </w:rPr>
      </w:pPr>
      <w:r>
        <w:rPr>
          <w:rFonts w:hint="eastAsia" w:ascii="宋体" w:hAnsi="宋体" w:cs="Arial"/>
          <w:szCs w:val="21"/>
        </w:rPr>
        <w:t>关于本项目工作进度计划的描述，以及各阶段进度的保障措施比较，具有可操作性强，内容描述详细的得9分；可操作性尚可，内容描述较简单的得6分；可操作性差，内容描述特少的得3分。未描述进度计划内容的不得分。</w:t>
      </w:r>
    </w:p>
    <w:p w14:paraId="6285579C">
      <w:pPr>
        <w:spacing w:line="360" w:lineRule="auto"/>
        <w:ind w:firstLine="420" w:firstLineChars="200"/>
        <w:rPr>
          <w:rFonts w:hint="eastAsia" w:ascii="宋体" w:hAnsi="宋体" w:cs="Arial"/>
          <w:szCs w:val="21"/>
        </w:rPr>
      </w:pPr>
      <w:r>
        <w:rPr>
          <w:rFonts w:hint="eastAsia" w:ascii="宋体" w:hAnsi="宋体" w:cs="Arial"/>
          <w:szCs w:val="21"/>
        </w:rPr>
        <w:t>4、服务实施质量、安全、文明、节约等措施比较（9分）</w:t>
      </w:r>
    </w:p>
    <w:p w14:paraId="4CB58E1D">
      <w:pPr>
        <w:spacing w:line="360" w:lineRule="auto"/>
        <w:ind w:firstLine="420" w:firstLineChars="200"/>
        <w:rPr>
          <w:rFonts w:hint="eastAsia" w:ascii="宋体" w:hAnsi="宋体" w:cs="Arial"/>
          <w:szCs w:val="21"/>
        </w:rPr>
      </w:pPr>
      <w:r>
        <w:rPr>
          <w:rFonts w:hint="eastAsia" w:ascii="宋体" w:hAnsi="宋体" w:cs="Arial"/>
          <w:szCs w:val="21"/>
        </w:rPr>
        <w:t>关于本项目实施质量、安全、文明、节约保证体系及措施，以及为完成该计划所定措施科学、合理、规范、高效，可操作性强，内容描述详细的得9分；可操作性一般，内容描述较详细的得6分；可操作性差，内容描述粗略的得3分；没有描述的不得分。</w:t>
      </w:r>
    </w:p>
    <w:p w14:paraId="6C19BB8F">
      <w:pPr>
        <w:spacing w:line="360" w:lineRule="auto"/>
        <w:ind w:firstLine="420" w:firstLineChars="200"/>
        <w:rPr>
          <w:rFonts w:hint="eastAsia" w:ascii="宋体" w:hAnsi="宋体" w:cs="Arial"/>
          <w:szCs w:val="21"/>
        </w:rPr>
      </w:pPr>
      <w:r>
        <w:rPr>
          <w:rFonts w:hint="eastAsia" w:ascii="宋体" w:hAnsi="宋体" w:cs="Arial"/>
          <w:szCs w:val="21"/>
        </w:rPr>
        <w:t>5、对项目实施过程中有可能发生的突发性事件（包括但不限于恶劣天气、事故灾难等）制定应急预案（最高为6分）：</w:t>
      </w:r>
    </w:p>
    <w:p w14:paraId="323D52AA">
      <w:pPr>
        <w:spacing w:line="360" w:lineRule="auto"/>
        <w:ind w:firstLine="420" w:firstLineChars="200"/>
        <w:rPr>
          <w:rFonts w:hint="eastAsia" w:ascii="宋体" w:hAnsi="宋体" w:cs="Arial"/>
          <w:szCs w:val="21"/>
        </w:rPr>
      </w:pPr>
      <w:r>
        <w:rPr>
          <w:rFonts w:hint="eastAsia" w:ascii="宋体" w:hAnsi="宋体" w:cs="Arial"/>
          <w:szCs w:val="21"/>
        </w:rPr>
        <w:t>应急预案合理性、完善性、可操作性强的得6分；应急预案合理性、完善性、可操作性较强的得3分；应急预案合理性、完善性、可操作性一般的得1分。未有内容描述的不得分。</w:t>
      </w:r>
    </w:p>
    <w:p w14:paraId="02AB816E">
      <w:pPr>
        <w:spacing w:line="360" w:lineRule="auto"/>
        <w:ind w:firstLine="420" w:firstLineChars="200"/>
        <w:rPr>
          <w:rFonts w:hint="eastAsia" w:ascii="宋体" w:hAnsi="宋体" w:cs="Arial"/>
          <w:szCs w:val="21"/>
        </w:rPr>
      </w:pPr>
      <w:r>
        <w:rPr>
          <w:rFonts w:hint="eastAsia" w:ascii="宋体" w:hAnsi="宋体" w:cs="Arial"/>
          <w:szCs w:val="21"/>
        </w:rPr>
        <w:t>6、管理人员组织结构及现场作业人员安排、主要作业机械配置计划（6分）</w:t>
      </w:r>
    </w:p>
    <w:p w14:paraId="0A6272AD">
      <w:pPr>
        <w:spacing w:line="360" w:lineRule="auto"/>
        <w:ind w:firstLine="420" w:firstLineChars="200"/>
        <w:rPr>
          <w:rFonts w:hint="eastAsia" w:ascii="宋体" w:hAnsi="宋体" w:cs="Arial"/>
          <w:szCs w:val="21"/>
        </w:rPr>
      </w:pPr>
      <w:r>
        <w:rPr>
          <w:rFonts w:hint="eastAsia" w:ascii="宋体" w:hAnsi="宋体" w:cs="Arial"/>
          <w:szCs w:val="21"/>
        </w:rPr>
        <w:t>科学、合理的用于该工程的技术、资源，劳动力、主要材料、机械及各种设备的使用管理等内容比较，可操作性强，内容描述详细的得6分；可操作性一般，内容描述较详细的得3分；可操作性差，内容描述粗略的得1分；没有描述的不得分。</w:t>
      </w:r>
    </w:p>
    <w:p w14:paraId="7DD61303">
      <w:pPr>
        <w:spacing w:line="360" w:lineRule="auto"/>
        <w:ind w:firstLine="422" w:firstLineChars="200"/>
        <w:rPr>
          <w:rFonts w:hint="eastAsia" w:ascii="宋体" w:hAnsi="宋体" w:cs="Arial"/>
          <w:b/>
          <w:bCs/>
          <w:szCs w:val="21"/>
        </w:rPr>
      </w:pPr>
      <w:r>
        <w:rPr>
          <w:rFonts w:hint="eastAsia" w:ascii="宋体" w:hAnsi="宋体" w:cs="Arial"/>
          <w:b/>
          <w:bCs/>
          <w:szCs w:val="21"/>
        </w:rPr>
        <w:t>（三）项目组成员及设施配备（9分）</w:t>
      </w:r>
    </w:p>
    <w:p w14:paraId="18A454D3">
      <w:pPr>
        <w:spacing w:line="360" w:lineRule="auto"/>
        <w:ind w:firstLine="420" w:firstLineChars="200"/>
        <w:rPr>
          <w:rFonts w:hint="eastAsia" w:ascii="宋体" w:hAnsi="宋体" w:cs="Arial"/>
          <w:szCs w:val="21"/>
        </w:rPr>
      </w:pPr>
      <w:r>
        <w:rPr>
          <w:rFonts w:hint="eastAsia" w:ascii="宋体" w:hAnsi="宋体" w:cs="Arial"/>
          <w:szCs w:val="21"/>
        </w:rPr>
        <w:t>1、项目技术负责人具有市政专业中级及以上职称的得3分，本项最高得3分。</w:t>
      </w:r>
    </w:p>
    <w:p w14:paraId="7356EA81">
      <w:pPr>
        <w:spacing w:line="360" w:lineRule="auto"/>
        <w:ind w:firstLine="420" w:firstLineChars="200"/>
        <w:rPr>
          <w:rFonts w:hint="eastAsia" w:ascii="宋体" w:hAnsi="宋体" w:cs="Arial"/>
          <w:szCs w:val="21"/>
        </w:rPr>
      </w:pPr>
      <w:r>
        <w:rPr>
          <w:rFonts w:hint="eastAsia" w:ascii="宋体" w:hAnsi="宋体" w:cs="Arial"/>
          <w:szCs w:val="21"/>
        </w:rPr>
        <w:t>2、项目组配备人员中（除项目技术负责人以外）具有市政相关专业中级及以上职称的有一个得2分，最高6分。</w:t>
      </w:r>
    </w:p>
    <w:p w14:paraId="686F5E7B">
      <w:pPr>
        <w:spacing w:line="360" w:lineRule="auto"/>
        <w:ind w:firstLine="420" w:firstLineChars="200"/>
        <w:rPr>
          <w:rFonts w:hint="eastAsia" w:ascii="宋体" w:hAnsi="宋体" w:cs="Arial"/>
          <w:szCs w:val="21"/>
        </w:rPr>
      </w:pPr>
      <w:r>
        <w:rPr>
          <w:rFonts w:hint="eastAsia" w:ascii="宋体" w:hAnsi="宋体" w:cs="Arial"/>
          <w:szCs w:val="21"/>
        </w:rPr>
        <w:t>注：需提供以上人员证书和为其缴纳的近一期社保证明复印件。证书原件带至磋商现场核查，未提供不得分。</w:t>
      </w:r>
    </w:p>
    <w:p w14:paraId="78772923">
      <w:pPr>
        <w:spacing w:line="360" w:lineRule="auto"/>
        <w:ind w:firstLine="422" w:firstLineChars="200"/>
        <w:rPr>
          <w:rFonts w:hint="eastAsia" w:ascii="宋体" w:hAnsi="宋体" w:cs="Arial"/>
          <w:b/>
          <w:bCs/>
          <w:szCs w:val="21"/>
        </w:rPr>
      </w:pPr>
      <w:r>
        <w:rPr>
          <w:rFonts w:hint="eastAsia" w:ascii="宋体" w:hAnsi="宋体" w:cs="Arial"/>
          <w:b/>
          <w:bCs/>
          <w:szCs w:val="21"/>
        </w:rPr>
        <w:t>（四）供应商综合实力：13分</w:t>
      </w:r>
    </w:p>
    <w:p w14:paraId="48AE2496">
      <w:pPr>
        <w:spacing w:line="360" w:lineRule="auto"/>
        <w:ind w:firstLine="420" w:firstLineChars="200"/>
        <w:rPr>
          <w:rFonts w:hint="eastAsia" w:ascii="宋体" w:hAnsi="宋体" w:cs="Arial"/>
          <w:szCs w:val="21"/>
        </w:rPr>
      </w:pPr>
      <w:r>
        <w:rPr>
          <w:rFonts w:hint="eastAsia" w:ascii="宋体" w:hAnsi="宋体" w:cs="Arial"/>
          <w:szCs w:val="21"/>
        </w:rPr>
        <w:t>1、自2020年1月1日至今（以合同签订日期为准），响应单位承担过类似业绩，有1个得2分，最高得10分。（提供业绩合同复印件加盖供应商公章，原件带至开标现场核查，未按上述要求提供证明材料或证明材料提供不全的相应评分项不得分。）</w:t>
      </w:r>
    </w:p>
    <w:p w14:paraId="355E97E7">
      <w:pPr>
        <w:spacing w:line="360" w:lineRule="auto"/>
        <w:ind w:firstLine="420" w:firstLineChars="200"/>
        <w:rPr>
          <w:rFonts w:hint="eastAsia" w:ascii="宋体" w:hAnsi="宋体" w:cs="Arial"/>
          <w:szCs w:val="21"/>
        </w:rPr>
      </w:pPr>
      <w:r>
        <w:rPr>
          <w:rFonts w:hint="eastAsia" w:ascii="宋体" w:hAnsi="宋体" w:cs="Arial"/>
          <w:szCs w:val="21"/>
        </w:rPr>
        <w:t>2、响应单位具备在有效期内的质量管理体系认证证书、环境管理体系认证证书、职业健康安全管理体系认证证书，每有一项得1分，最高得3分。（提供相应证书复印件加盖公章，证书原件带至磋商现场或提供中国国家认证认可监督管理委员会官网证书查询页面截图，否则本项不得分）。</w:t>
      </w:r>
    </w:p>
    <w:p w14:paraId="08F640B4">
      <w:pPr>
        <w:adjustRightInd w:val="0"/>
        <w:snapToGrid w:val="0"/>
        <w:spacing w:line="360" w:lineRule="auto"/>
        <w:ind w:firstLine="211" w:firstLineChars="100"/>
        <w:rPr>
          <w:rFonts w:hint="eastAsia" w:ascii="宋体" w:hAnsi="宋体" w:eastAsiaTheme="minorEastAsia" w:cstheme="minorBidi"/>
          <w:b/>
          <w:szCs w:val="21"/>
        </w:rPr>
      </w:pPr>
    </w:p>
    <w:p w14:paraId="6A1CED50">
      <w:pPr>
        <w:pStyle w:val="2"/>
        <w:ind w:firstLine="480"/>
      </w:pPr>
    </w:p>
    <w:p w14:paraId="72C9118B">
      <w:pPr>
        <w:pStyle w:val="2"/>
        <w:ind w:firstLine="420"/>
        <w:rPr>
          <w:rFonts w:hint="eastAsia" w:hAnsi="宋体" w:cs="宋体"/>
          <w:kern w:val="2"/>
          <w:sz w:val="21"/>
          <w:szCs w:val="21"/>
        </w:rPr>
      </w:pPr>
      <w:r>
        <w:rPr>
          <w:rFonts w:hint="eastAsia" w:hAnsi="宋体" w:cs="宋体"/>
          <w:kern w:val="2"/>
          <w:sz w:val="21"/>
          <w:szCs w:val="21"/>
        </w:rPr>
        <w:t>注：</w:t>
      </w:r>
      <w:r>
        <w:rPr>
          <w:rFonts w:hAnsi="宋体" w:cs="宋体"/>
          <w:kern w:val="2"/>
          <w:sz w:val="21"/>
          <w:szCs w:val="21"/>
        </w:rPr>
        <w:t xml:space="preserve"> </w:t>
      </w:r>
    </w:p>
    <w:p w14:paraId="26B2E886">
      <w:pPr>
        <w:spacing w:line="360" w:lineRule="auto"/>
        <w:ind w:firstLine="420" w:firstLineChars="200"/>
        <w:rPr>
          <w:rFonts w:hint="eastAsia" w:ascii="宋体" w:hAnsi="宋体" w:cs="Arial"/>
          <w:szCs w:val="21"/>
        </w:rPr>
      </w:pPr>
      <w:r>
        <w:rPr>
          <w:rFonts w:hint="eastAsia" w:ascii="宋体" w:hAnsi="宋体" w:cs="Arial"/>
          <w:szCs w:val="21"/>
        </w:rPr>
        <w:t>（1）针对评分标准中评分的每一条，投标人均应提供相关资料并做出相应说明供评委评判，不提供相关资料的视为不具备该项得分的条件，资料须编好目录及页码。</w:t>
      </w:r>
    </w:p>
    <w:p w14:paraId="388F2D3A">
      <w:pPr>
        <w:spacing w:line="360" w:lineRule="auto"/>
        <w:ind w:firstLine="420" w:firstLineChars="200"/>
        <w:rPr>
          <w:rFonts w:hint="eastAsia" w:ascii="宋体" w:hAnsi="宋体" w:cs="Arial"/>
          <w:szCs w:val="21"/>
        </w:rPr>
      </w:pPr>
      <w:r>
        <w:rPr>
          <w:rFonts w:hint="eastAsia" w:ascii="宋体" w:hAnsi="宋体" w:cs="Arial"/>
          <w:szCs w:val="21"/>
        </w:rPr>
        <w:t>（2）所有复印件，如有网上查询路径则以网上查询路径为准，并须提供网站截图；如要求提供原件，则原件须与响应文件同时递交，不需密封；</w:t>
      </w:r>
      <w:r>
        <w:rPr>
          <w:rFonts w:hint="eastAsia" w:ascii="宋体" w:hAnsi="宋体" w:cs="宋体"/>
          <w:color w:val="000000"/>
          <w:szCs w:val="21"/>
        </w:rPr>
        <w:t>不提供不得分。</w:t>
      </w:r>
    </w:p>
    <w:p w14:paraId="67C6EE06">
      <w:pPr>
        <w:tabs>
          <w:tab w:val="left" w:pos="0"/>
        </w:tabs>
        <w:autoSpaceDE w:val="0"/>
        <w:autoSpaceDN w:val="0"/>
        <w:adjustRightInd w:val="0"/>
        <w:spacing w:line="360" w:lineRule="auto"/>
        <w:rPr>
          <w:rFonts w:hint="eastAsia" w:ascii="宋体" w:hAnsi="宋体"/>
          <w:sz w:val="30"/>
          <w:szCs w:val="30"/>
        </w:rPr>
      </w:pPr>
    </w:p>
    <w:p w14:paraId="171AA39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宋体-GB2312">
    <w:panose1 w:val="02000500000000000000"/>
    <w:charset w:val="86"/>
    <w:family w:val="auto"/>
    <w:pitch w:val="default"/>
    <w:sig w:usb0="800002AF" w:usb1="0847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9D57CC"/>
    <w:rsid w:val="377E1262"/>
    <w:rsid w:val="5F83587F"/>
    <w:rsid w:val="6F7B0E19"/>
    <w:rsid w:val="779D57CC"/>
    <w:rsid w:val="AE4DB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段"/>
    <w:next w:val="3"/>
    <w:qFormat/>
    <w:uiPriority w:val="99"/>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3">
    <w:name w:val="正文 A"/>
    <w:next w:val="2"/>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2026-09-15T16:08:00Z</dcterms:created>
  <dc:creator>苏州建设交通高等职业技术学校</dc:creator>
  <cp:lastModifiedBy>苏州建设交通高等职业技术学校</cp:lastModifiedBy>
  <dcterms:modified xsi:type="dcterms:W3CDTF">2026-09-15T16:09:30Z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F2B5E50C4C6A1231F5FCA86AA5CD1BFA_41</vt:lpwstr>
  </property>
</Properties>
</file>