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D9D4">
      <w:pPr>
        <w:spacing w:line="360" w:lineRule="auto"/>
        <w:ind w:firstLine="118" w:firstLineChars="49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评分标准</w:t>
      </w:r>
    </w:p>
    <w:p w14:paraId="719C13E6">
      <w:pPr>
        <w:spacing w:line="360" w:lineRule="auto"/>
        <w:ind w:firstLine="117" w:firstLineChars="49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投标人评标</w:t>
      </w:r>
      <w:r>
        <w:rPr>
          <w:rFonts w:hint="eastAsia" w:ascii="宋体" w:hAnsi="宋体"/>
          <w:bCs/>
          <w:sz w:val="24"/>
        </w:rPr>
        <w:t>综合得分=价格分+技术分+商务资信分</w:t>
      </w: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13"/>
        <w:gridCol w:w="1673"/>
        <w:gridCol w:w="5814"/>
      </w:tblGrid>
      <w:tr w14:paraId="3887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63" w:type="dxa"/>
            <w:vAlign w:val="center"/>
          </w:tcPr>
          <w:p w14:paraId="26A83FED">
            <w:pPr>
              <w:snapToGrid w:val="0"/>
              <w:spacing w:after="156" w:afterLines="50"/>
              <w:ind w:firstLine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113" w:type="dxa"/>
            <w:vAlign w:val="center"/>
          </w:tcPr>
          <w:p w14:paraId="4678CF54">
            <w:pPr>
              <w:snapToGrid w:val="0"/>
              <w:ind w:firstLine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评分因素</w:t>
            </w:r>
          </w:p>
          <w:p w14:paraId="33EC33BC">
            <w:pPr>
              <w:snapToGrid w:val="0"/>
              <w:ind w:firstLine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及权重</w:t>
            </w:r>
          </w:p>
        </w:tc>
        <w:tc>
          <w:tcPr>
            <w:tcW w:w="1673" w:type="dxa"/>
            <w:vAlign w:val="center"/>
          </w:tcPr>
          <w:p w14:paraId="2F4933C4">
            <w:pPr>
              <w:snapToGrid w:val="0"/>
              <w:ind w:firstLine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　值</w:t>
            </w:r>
          </w:p>
        </w:tc>
        <w:tc>
          <w:tcPr>
            <w:tcW w:w="5814" w:type="dxa"/>
            <w:vAlign w:val="center"/>
          </w:tcPr>
          <w:p w14:paraId="6B5D1374">
            <w:pPr>
              <w:snapToGrid w:val="0"/>
              <w:ind w:firstLine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评分标准</w:t>
            </w:r>
          </w:p>
        </w:tc>
      </w:tr>
      <w:tr w14:paraId="22C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863" w:type="dxa"/>
            <w:vAlign w:val="center"/>
          </w:tcPr>
          <w:p w14:paraId="310ECE24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13" w:type="dxa"/>
            <w:vAlign w:val="center"/>
          </w:tcPr>
          <w:p w14:paraId="1838CCA5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价格30分</w:t>
            </w:r>
          </w:p>
        </w:tc>
        <w:tc>
          <w:tcPr>
            <w:tcW w:w="1673" w:type="dxa"/>
            <w:vAlign w:val="center"/>
          </w:tcPr>
          <w:p w14:paraId="70B4D572">
            <w:pPr>
              <w:snapToGrid w:val="0"/>
              <w:spacing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30分</w:t>
            </w:r>
          </w:p>
        </w:tc>
        <w:tc>
          <w:tcPr>
            <w:tcW w:w="5814" w:type="dxa"/>
            <w:vAlign w:val="center"/>
          </w:tcPr>
          <w:p w14:paraId="2109B00F">
            <w:pPr>
              <w:wordWrap w:val="0"/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满足招标文件要求且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价格最低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的投标报价为评标基准价，得满分30分。其他报价得分 = (评标基准价 / 该投标报价) × 30</w:t>
            </w:r>
          </w:p>
        </w:tc>
      </w:tr>
      <w:tr w14:paraId="67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63" w:type="dxa"/>
            <w:vMerge w:val="restart"/>
            <w:vAlign w:val="center"/>
          </w:tcPr>
          <w:p w14:paraId="52C1EBD9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13" w:type="dxa"/>
            <w:vMerge w:val="restart"/>
            <w:vAlign w:val="center"/>
          </w:tcPr>
          <w:p w14:paraId="2B396D2D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商务资信</w:t>
            </w:r>
          </w:p>
          <w:p w14:paraId="6264139B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20分</w:t>
            </w:r>
          </w:p>
        </w:tc>
        <w:tc>
          <w:tcPr>
            <w:tcW w:w="1673" w:type="dxa"/>
            <w:vAlign w:val="center"/>
          </w:tcPr>
          <w:p w14:paraId="70093813">
            <w:pPr>
              <w:snapToGrid w:val="0"/>
              <w:spacing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支付条款</w:t>
            </w:r>
          </w:p>
          <w:p w14:paraId="2F0E8646">
            <w:pPr>
              <w:snapToGrid w:val="0"/>
              <w:spacing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（2分）</w:t>
            </w:r>
          </w:p>
        </w:tc>
        <w:tc>
          <w:tcPr>
            <w:tcW w:w="5814" w:type="dxa"/>
            <w:vAlign w:val="center"/>
          </w:tcPr>
          <w:p w14:paraId="208EEC7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满足招标文件要求的前提下横向比较，酌情评分。</w:t>
            </w:r>
          </w:p>
        </w:tc>
      </w:tr>
      <w:tr w14:paraId="00FD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863" w:type="dxa"/>
            <w:vMerge w:val="continue"/>
            <w:vAlign w:val="center"/>
          </w:tcPr>
          <w:p w14:paraId="03BB54CA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28E0195B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1BF012D">
            <w:pPr>
              <w:snapToGrid w:val="0"/>
              <w:spacing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项目业绩</w:t>
            </w:r>
          </w:p>
          <w:p w14:paraId="2EE1D13D">
            <w:pPr>
              <w:snapToGrid w:val="0"/>
              <w:spacing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（8分）</w:t>
            </w:r>
          </w:p>
        </w:tc>
        <w:tc>
          <w:tcPr>
            <w:tcW w:w="5814" w:type="dxa"/>
            <w:vAlign w:val="center"/>
          </w:tcPr>
          <w:p w14:paraId="706E379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提供近三年(202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年至今)的类似业绩:</w:t>
            </w:r>
          </w:p>
          <w:p w14:paraId="41096B78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每提供1项高等院校或重点中学变电所预防性试验业绩得2分;</w:t>
            </w:r>
          </w:p>
          <w:p w14:paraId="5597411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每提供1项其他企事业单位业绩得1分;</w:t>
            </w:r>
          </w:p>
          <w:p w14:paraId="56115E1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最高得8分。(需提供合同关键页复印件加盖公章)。</w:t>
            </w:r>
          </w:p>
        </w:tc>
      </w:tr>
      <w:tr w14:paraId="4E82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63" w:type="dxa"/>
            <w:vMerge w:val="continue"/>
            <w:vAlign w:val="center"/>
          </w:tcPr>
          <w:p w14:paraId="54C1A29C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5B68A91C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7EE81883">
            <w:pPr>
              <w:spacing w:line="300" w:lineRule="exact"/>
              <w:ind w:firstLine="2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质保期    （2分）</w:t>
            </w:r>
          </w:p>
        </w:tc>
        <w:tc>
          <w:tcPr>
            <w:tcW w:w="5814" w:type="dxa"/>
            <w:vAlign w:val="center"/>
          </w:tcPr>
          <w:p w14:paraId="1180DE68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质保12个月的得1分，每多一个月加0.1分，封顶2分，不满12个月的得0分；技术服务期24个月及以上的得0.5分，不满24个月的得0分。</w:t>
            </w:r>
          </w:p>
        </w:tc>
      </w:tr>
      <w:tr w14:paraId="3295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63" w:type="dxa"/>
            <w:vMerge w:val="continue"/>
            <w:vAlign w:val="center"/>
          </w:tcPr>
          <w:p w14:paraId="35709050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3B831B11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33C46312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售后服务承诺书（2分）</w:t>
            </w:r>
          </w:p>
        </w:tc>
        <w:tc>
          <w:tcPr>
            <w:tcW w:w="5814" w:type="dxa"/>
            <w:vAlign w:val="center"/>
          </w:tcPr>
          <w:p w14:paraId="77F5EA80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承诺试验后提供为期[1]年的技术咨询服务的得1分;承诺若设备在试验后短期内出现故障，提供24小时应急响应服务的得1分。</w:t>
            </w:r>
          </w:p>
        </w:tc>
      </w:tr>
      <w:tr w14:paraId="4AD7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63" w:type="dxa"/>
            <w:vMerge w:val="continue"/>
            <w:vAlign w:val="center"/>
          </w:tcPr>
          <w:p w14:paraId="71A265C6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4D2CB912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4B38A28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业务能力（5分）</w:t>
            </w:r>
          </w:p>
        </w:tc>
        <w:tc>
          <w:tcPr>
            <w:tcW w:w="5814" w:type="dxa"/>
            <w:vAlign w:val="center"/>
          </w:tcPr>
          <w:p w14:paraId="73C4DEBB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具备承试类四级资质的得3分，具备三级及以上资质的得5分。</w:t>
            </w:r>
          </w:p>
          <w:p w14:paraId="23A83E36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具有ISO9001、ISO45001等管理体系认证的，每项加1分，最高加2分。</w:t>
            </w:r>
          </w:p>
        </w:tc>
      </w:tr>
      <w:tr w14:paraId="0331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63" w:type="dxa"/>
            <w:vMerge w:val="continue"/>
            <w:vAlign w:val="center"/>
          </w:tcPr>
          <w:p w14:paraId="2601BA2E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25935D56">
            <w:pPr>
              <w:spacing w:after="156" w:afterLines="50" w:line="30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11BD84E2">
            <w:pPr>
              <w:spacing w:line="300" w:lineRule="exact"/>
              <w:ind w:firstLine="2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标书制作（1分）</w:t>
            </w:r>
          </w:p>
        </w:tc>
        <w:tc>
          <w:tcPr>
            <w:tcW w:w="5814" w:type="dxa"/>
            <w:vAlign w:val="center"/>
          </w:tcPr>
          <w:p w14:paraId="70A6A95F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评委根据各投标人标书制作情况横向比较，酌情评分。</w:t>
            </w:r>
          </w:p>
        </w:tc>
      </w:tr>
      <w:tr w14:paraId="1F59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863" w:type="dxa"/>
            <w:vMerge w:val="restart"/>
            <w:vAlign w:val="center"/>
          </w:tcPr>
          <w:p w14:paraId="124E9A71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113" w:type="dxa"/>
            <w:vMerge w:val="restart"/>
            <w:tcBorders>
              <w:bottom w:val="single" w:color="auto" w:sz="4" w:space="0"/>
            </w:tcBorders>
            <w:vAlign w:val="center"/>
          </w:tcPr>
          <w:p w14:paraId="0962E321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技术50分</w:t>
            </w:r>
          </w:p>
        </w:tc>
        <w:tc>
          <w:tcPr>
            <w:tcW w:w="1673" w:type="dxa"/>
            <w:vAlign w:val="center"/>
          </w:tcPr>
          <w:p w14:paraId="5C6A4414">
            <w:pPr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试验技术方案（15分）</w:t>
            </w:r>
          </w:p>
        </w:tc>
        <w:tc>
          <w:tcPr>
            <w:tcW w:w="5814" w:type="dxa"/>
            <w:vAlign w:val="center"/>
          </w:tcPr>
          <w:p w14:paraId="7C538BCC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优秀(12-15分):方案完整、科学，完全符合GB50150等国家标准，针对学校负荷特点(如宿舍、实验室、图书馆)有详细的停电过渡方案。良好(8-11分):方案较完整，主要试验项目齐全，流程合理。一般(4-7分):方案简单，仅罗列常规项目，缺乏针对性。差(0-3分):方案存在明显漏项或不合理之处。</w:t>
            </w:r>
          </w:p>
        </w:tc>
      </w:tr>
      <w:tr w14:paraId="1CE5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863" w:type="dxa"/>
            <w:vMerge w:val="continue"/>
            <w:vAlign w:val="center"/>
          </w:tcPr>
          <w:p w14:paraId="78E80F43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3B2E4C35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9FD207D">
            <w:pPr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重点难点分析及应对措施（10分）</w:t>
            </w:r>
          </w:p>
        </w:tc>
        <w:tc>
          <w:tcPr>
            <w:tcW w:w="5814" w:type="dxa"/>
            <w:vAlign w:val="center"/>
          </w:tcPr>
          <w:p w14:paraId="77D8B994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优秀(8-10分):准确指出校园电网(如运行年限长、电缆沟环境潮湿、树障等)存在的隐患，并提出了切实可行的解决方案(如带电检测、局放测试等先进手段)良好(5-7分):能分析一般性问题，有常规应对措施。一般(0-4分):分析流于表面，无具体措施。</w:t>
            </w:r>
          </w:p>
        </w:tc>
      </w:tr>
      <w:tr w14:paraId="422A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63" w:type="dxa"/>
            <w:vMerge w:val="continue"/>
            <w:vAlign w:val="center"/>
          </w:tcPr>
          <w:p w14:paraId="026B3E7F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7D2BD305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06654107">
            <w:pPr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安全保障措施（10分）</w:t>
            </w:r>
          </w:p>
        </w:tc>
        <w:tc>
          <w:tcPr>
            <w:tcW w:w="5814" w:type="dxa"/>
            <w:vAlign w:val="center"/>
          </w:tcPr>
          <w:p w14:paraId="23167A12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优秀(8-10分):安全管理制度健全，针对学校人流密集特点制定了严格的隔离防护措施、警示标识方案及应急预案(含触电急救演练)。良好(5-7分):有常规安全规程，但针对校园环境的特殊性考虑不足。一般(0-4分):安全措施空洞，缺乏可操作性。</w:t>
            </w:r>
          </w:p>
        </w:tc>
      </w:tr>
      <w:tr w14:paraId="47F8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63" w:type="dxa"/>
            <w:vMerge w:val="continue"/>
            <w:vAlign w:val="center"/>
          </w:tcPr>
          <w:p w14:paraId="33EA0454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424B53E0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65508DC2">
            <w:pPr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进度计划及工期保障（5）</w:t>
            </w:r>
          </w:p>
        </w:tc>
        <w:tc>
          <w:tcPr>
            <w:tcW w:w="5814" w:type="dxa"/>
            <w:vAlign w:val="center"/>
          </w:tcPr>
          <w:p w14:paraId="3DDC1FBA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评优秀(4-5分):工期安排紧凑合理，明确承诺在暑假/非教学时段完工，有详细的倒闸操作时间表和恢复供电预案。</w:t>
            </w:r>
          </w:p>
          <w:p w14:paraId="5D931C3C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良好(2-3分):工期安排基本合理。</w:t>
            </w:r>
          </w:p>
          <w:p w14:paraId="64576693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一般(0-1分):工期安排不明确。</w:t>
            </w:r>
          </w:p>
        </w:tc>
      </w:tr>
      <w:tr w14:paraId="7BDB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63" w:type="dxa"/>
            <w:vMerge w:val="continue"/>
            <w:vAlign w:val="center"/>
          </w:tcPr>
          <w:p w14:paraId="73478E88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1569E626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E694CBB">
            <w:pPr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拟投入的仪器设备（5）</w:t>
            </w:r>
          </w:p>
        </w:tc>
        <w:tc>
          <w:tcPr>
            <w:tcW w:w="5814" w:type="dxa"/>
            <w:vAlign w:val="center"/>
          </w:tcPr>
          <w:p w14:paraId="0AED63B5">
            <w:pPr>
              <w:wordWrap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拟投入的试验设备(如串联谐振耐压装置、继电保护测试仪等)先进、齐全，且在检定有效期内。提供设备清单及检定证书复印件，缺一项扣1分。</w:t>
            </w:r>
          </w:p>
        </w:tc>
      </w:tr>
      <w:tr w14:paraId="6E85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863" w:type="dxa"/>
            <w:vMerge w:val="continue"/>
            <w:vAlign w:val="center"/>
          </w:tcPr>
          <w:p w14:paraId="15BFBC5A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 w14:paraId="2AF9B6F1">
            <w:pPr>
              <w:spacing w:after="156" w:afterLines="50" w:line="240" w:lineRule="exact"/>
              <w:ind w:firstLine="28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3" w:type="dxa"/>
            <w:shd w:val="clear"/>
            <w:vAlign w:val="top"/>
          </w:tcPr>
          <w:p w14:paraId="1D8A8F84">
            <w:pPr>
              <w:widowControl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14:paraId="2CEE4A32">
            <w:pPr>
              <w:pStyle w:val="3"/>
              <w:snapToGrid w:val="0"/>
              <w:spacing w:before="156" w:after="156" w:line="360" w:lineRule="auto"/>
              <w:jc w:val="center"/>
              <w:outlineLvl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试验报告质量承诺（5）</w:t>
            </w:r>
          </w:p>
        </w:tc>
        <w:tc>
          <w:tcPr>
            <w:tcW w:w="5814" w:type="dxa"/>
            <w:shd w:val="clear"/>
            <w:vAlign w:val="top"/>
          </w:tcPr>
          <w:p w14:paraId="344CB620"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  <w:p w14:paraId="16E7B4B8">
            <w:pPr>
              <w:pStyle w:val="3"/>
              <w:snapToGrid w:val="0"/>
              <w:spacing w:before="156" w:after="156" w:line="360" w:lineRule="auto"/>
              <w:jc w:val="center"/>
              <w:outlineLvl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承诺出具CMA/CNAS认证报告的得3分;承诺提供电子版+纸质版且数据详尽的得2分。未承诺不得分。</w:t>
            </w:r>
          </w:p>
        </w:tc>
      </w:tr>
    </w:tbl>
    <w:p w14:paraId="34F33E42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B8"/>
    <w:rsid w:val="001021CF"/>
    <w:rsid w:val="00114A7C"/>
    <w:rsid w:val="00126A57"/>
    <w:rsid w:val="001D0ABD"/>
    <w:rsid w:val="00201A7E"/>
    <w:rsid w:val="003953CF"/>
    <w:rsid w:val="004D46D2"/>
    <w:rsid w:val="005866C8"/>
    <w:rsid w:val="006142C7"/>
    <w:rsid w:val="00666E27"/>
    <w:rsid w:val="00900E09"/>
    <w:rsid w:val="00A90F61"/>
    <w:rsid w:val="00AA76B8"/>
    <w:rsid w:val="00AF164F"/>
    <w:rsid w:val="00BC3392"/>
    <w:rsid w:val="00D86038"/>
    <w:rsid w:val="00ED0D4D"/>
    <w:rsid w:val="00FF34AE"/>
    <w:rsid w:val="7ECF473D"/>
    <w:rsid w:val="B7B7F0EF"/>
    <w:rsid w:val="D7E56855"/>
    <w:rsid w:val="E772F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11"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宋体" w:cs="Times New Roman"/>
      <w:kern w:val="0"/>
      <w:sz w:val="24"/>
      <w:szCs w:val="24"/>
    </w:rPr>
  </w:style>
  <w:style w:type="character" w:customStyle="1" w:styleId="12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2</TotalTime>
  <ScaleCrop>false</ScaleCrop>
  <LinksUpToDate>false</LinksUpToDate>
  <CharactersWithSpaces>1296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2026-04-17T17:57:00Z</dcterms:created>
  <dc:creator>wang</dc:creator>
  <cp:lastModifiedBy>苏州建设交通高等职业技术学校</cp:lastModifiedBy>
  <dcterms:modified xsi:type="dcterms:W3CDTF">2026-04-17T15:38:56Z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DE0E659BA7FFCBBABED8E169D5FE1E21_42</vt:lpwstr>
  </property>
</Properties>
</file>