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margin" w:tblpXSpec="center" w:tblpY="641"/>
        <w:tblOverlap w:val="never"/>
        <w:tblW w:w="9992" w:type="dxa"/>
        <w:tblInd w:w="0" w:type="dxa"/>
        <w:tblLayout w:type="fixed"/>
        <w:tblCellMar>
          <w:top w:w="0" w:type="dxa"/>
          <w:left w:w="108" w:type="dxa"/>
          <w:bottom w:w="0" w:type="dxa"/>
          <w:right w:w="108" w:type="dxa"/>
        </w:tblCellMar>
      </w:tblPr>
      <w:tblGrid>
        <w:gridCol w:w="1486"/>
        <w:gridCol w:w="1559"/>
        <w:gridCol w:w="6947"/>
      </w:tblGrid>
      <w:tr w14:paraId="2181E50D">
        <w:tblPrEx>
          <w:tblCellMar>
            <w:top w:w="0" w:type="dxa"/>
            <w:left w:w="108" w:type="dxa"/>
            <w:bottom w:w="0" w:type="dxa"/>
            <w:right w:w="108" w:type="dxa"/>
          </w:tblCellMar>
        </w:tblPrEx>
        <w:trPr>
          <w:trHeight w:val="570" w:hRule="atLeast"/>
        </w:trPr>
        <w:tc>
          <w:tcPr>
            <w:tcW w:w="1486" w:type="dxa"/>
            <w:tcBorders>
              <w:top w:val="single" w:color="auto" w:sz="4" w:space="0"/>
              <w:left w:val="single" w:color="auto" w:sz="4" w:space="0"/>
              <w:bottom w:val="single" w:color="auto" w:sz="4" w:space="0"/>
              <w:right w:val="single" w:color="auto" w:sz="4" w:space="0"/>
            </w:tcBorders>
            <w:vAlign w:val="center"/>
          </w:tcPr>
          <w:p w14:paraId="3EA65D8B">
            <w:pPr>
              <w:jc w:val="center"/>
              <w:rPr>
                <w:rFonts w:ascii="宋体" w:hAnsi="宋体" w:cs="宋体"/>
                <w:sz w:val="24"/>
                <w:szCs w:val="24"/>
              </w:rPr>
            </w:pPr>
            <w:r>
              <w:rPr>
                <w:rFonts w:hint="eastAsia" w:ascii="宋体" w:hAnsi="宋体" w:cs="宋体"/>
                <w:sz w:val="24"/>
                <w:szCs w:val="24"/>
              </w:rPr>
              <w:t>序号</w:t>
            </w:r>
          </w:p>
        </w:tc>
        <w:tc>
          <w:tcPr>
            <w:tcW w:w="1559" w:type="dxa"/>
            <w:tcBorders>
              <w:top w:val="single" w:color="auto" w:sz="4" w:space="0"/>
              <w:left w:val="nil"/>
              <w:bottom w:val="single" w:color="auto" w:sz="4" w:space="0"/>
              <w:right w:val="single" w:color="000000" w:sz="4" w:space="0"/>
            </w:tcBorders>
            <w:vAlign w:val="center"/>
          </w:tcPr>
          <w:p w14:paraId="0A10A4A9">
            <w:pPr>
              <w:jc w:val="center"/>
              <w:rPr>
                <w:rFonts w:ascii="宋体" w:hAnsi="宋体" w:cs="宋体"/>
                <w:sz w:val="24"/>
                <w:szCs w:val="24"/>
              </w:rPr>
            </w:pPr>
            <w:r>
              <w:rPr>
                <w:rFonts w:hint="eastAsia" w:ascii="宋体" w:hAnsi="宋体" w:cs="宋体"/>
                <w:sz w:val="24"/>
                <w:szCs w:val="24"/>
              </w:rPr>
              <w:t>评审项目</w:t>
            </w:r>
          </w:p>
        </w:tc>
        <w:tc>
          <w:tcPr>
            <w:tcW w:w="6947" w:type="dxa"/>
            <w:tcBorders>
              <w:top w:val="single" w:color="auto" w:sz="4" w:space="0"/>
              <w:left w:val="nil"/>
              <w:bottom w:val="single" w:color="auto" w:sz="4" w:space="0"/>
              <w:right w:val="single" w:color="auto" w:sz="4" w:space="0"/>
            </w:tcBorders>
            <w:vAlign w:val="center"/>
          </w:tcPr>
          <w:p w14:paraId="7131AF65">
            <w:pPr>
              <w:jc w:val="center"/>
              <w:rPr>
                <w:rFonts w:ascii="宋体" w:hAnsi="宋体" w:cs="宋体"/>
                <w:sz w:val="24"/>
                <w:szCs w:val="24"/>
              </w:rPr>
            </w:pPr>
            <w:r>
              <w:rPr>
                <w:rFonts w:hint="eastAsia" w:ascii="宋体" w:hAnsi="宋体" w:cs="宋体"/>
                <w:sz w:val="24"/>
                <w:szCs w:val="24"/>
              </w:rPr>
              <w:t>评审标准</w:t>
            </w:r>
          </w:p>
        </w:tc>
      </w:tr>
      <w:tr w14:paraId="3BF102F1">
        <w:tblPrEx>
          <w:tblCellMar>
            <w:top w:w="0" w:type="dxa"/>
            <w:left w:w="108" w:type="dxa"/>
            <w:bottom w:w="0" w:type="dxa"/>
            <w:right w:w="108" w:type="dxa"/>
          </w:tblCellMar>
        </w:tblPrEx>
        <w:trPr>
          <w:trHeight w:val="2201" w:hRule="atLeast"/>
        </w:trPr>
        <w:tc>
          <w:tcPr>
            <w:tcW w:w="1486" w:type="dxa"/>
            <w:tcBorders>
              <w:top w:val="single" w:color="auto" w:sz="4" w:space="0"/>
              <w:left w:val="single" w:color="auto" w:sz="4" w:space="0"/>
              <w:bottom w:val="single" w:color="auto" w:sz="4" w:space="0"/>
              <w:right w:val="single" w:color="auto" w:sz="4" w:space="0"/>
            </w:tcBorders>
            <w:vAlign w:val="center"/>
          </w:tcPr>
          <w:p w14:paraId="7F661A26">
            <w:pPr>
              <w:jc w:val="center"/>
              <w:rPr>
                <w:rFonts w:ascii="宋体" w:hAnsi="宋体" w:cs="宋体"/>
                <w:sz w:val="24"/>
                <w:szCs w:val="24"/>
              </w:rPr>
            </w:pPr>
            <w:r>
              <w:rPr>
                <w:rFonts w:hint="eastAsia" w:ascii="宋体" w:hAnsi="宋体" w:cs="宋体"/>
                <w:sz w:val="24"/>
                <w:szCs w:val="24"/>
              </w:rPr>
              <w:t>1</w:t>
            </w:r>
          </w:p>
        </w:tc>
        <w:tc>
          <w:tcPr>
            <w:tcW w:w="1559" w:type="dxa"/>
            <w:tcBorders>
              <w:top w:val="single" w:color="auto" w:sz="4" w:space="0"/>
              <w:left w:val="nil"/>
              <w:bottom w:val="single" w:color="auto" w:sz="4" w:space="0"/>
              <w:right w:val="single" w:color="000000" w:sz="4" w:space="0"/>
            </w:tcBorders>
            <w:vAlign w:val="center"/>
          </w:tcPr>
          <w:p w14:paraId="2577E47A">
            <w:pPr>
              <w:jc w:val="center"/>
              <w:rPr>
                <w:rFonts w:ascii="宋体" w:hAnsi="宋体" w:cs="宋体"/>
                <w:sz w:val="24"/>
                <w:szCs w:val="24"/>
              </w:rPr>
            </w:pPr>
            <w:r>
              <w:rPr>
                <w:rFonts w:hint="eastAsia" w:ascii="宋体" w:hAnsi="宋体" w:cs="宋体"/>
                <w:sz w:val="24"/>
                <w:szCs w:val="24"/>
              </w:rPr>
              <w:t>投标报价（30分）</w:t>
            </w:r>
          </w:p>
        </w:tc>
        <w:tc>
          <w:tcPr>
            <w:tcW w:w="6947" w:type="dxa"/>
            <w:tcBorders>
              <w:top w:val="single" w:color="auto" w:sz="4" w:space="0"/>
              <w:left w:val="nil"/>
              <w:bottom w:val="single" w:color="auto" w:sz="4" w:space="0"/>
              <w:right w:val="single" w:color="auto" w:sz="4" w:space="0"/>
            </w:tcBorders>
            <w:vAlign w:val="center"/>
          </w:tcPr>
          <w:p w14:paraId="7D6E8D8B">
            <w:pPr>
              <w:spacing w:line="276" w:lineRule="auto"/>
              <w:rPr>
                <w:rFonts w:ascii="宋体" w:hAnsi="宋体" w:cs="宋体"/>
                <w:sz w:val="24"/>
                <w:szCs w:val="24"/>
              </w:rPr>
            </w:pPr>
            <w:r>
              <w:rPr>
                <w:rFonts w:hint="eastAsia" w:ascii="宋体" w:hAnsi="宋体" w:cs="宋体"/>
                <w:sz w:val="24"/>
                <w:szCs w:val="24"/>
              </w:rPr>
              <w:t xml:space="preserve">1）所有满足招标文件资格要求且报价在预算范围内的投标人的总报价中，报价中的最低价格为基准价格；等于基准价格为30 分；其他投标人的价格分统一按照下列公式计算：投标报价得分＝（评标基准价/投标报价）× 30% ×100。 </w:t>
            </w:r>
          </w:p>
          <w:p w14:paraId="390F5E82">
            <w:pPr>
              <w:snapToGrid w:val="0"/>
              <w:spacing w:line="276" w:lineRule="auto"/>
              <w:rPr>
                <w:rFonts w:ascii="宋体" w:hAnsi="宋体" w:cs="宋体"/>
                <w:sz w:val="24"/>
                <w:szCs w:val="24"/>
              </w:rPr>
            </w:pPr>
            <w:r>
              <w:rPr>
                <w:rFonts w:hint="eastAsia" w:ascii="宋体" w:hAnsi="宋体" w:cs="宋体"/>
                <w:sz w:val="24"/>
                <w:szCs w:val="24"/>
              </w:rPr>
              <w:t>2）</w:t>
            </w:r>
            <w:bookmarkStart w:id="0" w:name="_Hlk509476468"/>
            <w:r>
              <w:rPr>
                <w:rFonts w:hint="eastAsia" w:ascii="宋体" w:hAnsi="宋体" w:cs="宋体"/>
                <w:sz w:val="24"/>
                <w:szCs w:val="24"/>
              </w:rPr>
              <w:t>本次投标最高限价为37000元；</w:t>
            </w:r>
          </w:p>
          <w:p w14:paraId="20885FD1">
            <w:pPr>
              <w:snapToGrid w:val="0"/>
              <w:spacing w:line="276" w:lineRule="auto"/>
              <w:rPr>
                <w:rFonts w:ascii="宋体" w:hAnsi="宋体" w:cs="宋体"/>
                <w:sz w:val="24"/>
                <w:szCs w:val="24"/>
              </w:rPr>
            </w:pPr>
            <w:r>
              <w:rPr>
                <w:rFonts w:hint="eastAsia" w:ascii="宋体" w:hAnsi="宋体" w:cs="宋体"/>
                <w:sz w:val="24"/>
                <w:szCs w:val="24"/>
              </w:rPr>
              <w:t>3）报价得分最高为30分，最低为0分。</w:t>
            </w:r>
            <w:bookmarkEnd w:id="0"/>
          </w:p>
        </w:tc>
      </w:tr>
      <w:tr w14:paraId="76AC5BC7">
        <w:tblPrEx>
          <w:tblCellMar>
            <w:top w:w="0" w:type="dxa"/>
            <w:left w:w="108" w:type="dxa"/>
            <w:bottom w:w="0" w:type="dxa"/>
            <w:right w:w="108" w:type="dxa"/>
          </w:tblCellMar>
        </w:tblPrEx>
        <w:trPr>
          <w:trHeight w:val="1169" w:hRule="atLeast"/>
        </w:trPr>
        <w:tc>
          <w:tcPr>
            <w:tcW w:w="1486" w:type="dxa"/>
            <w:tcBorders>
              <w:top w:val="nil"/>
              <w:left w:val="single" w:color="auto" w:sz="4" w:space="0"/>
              <w:bottom w:val="single" w:color="auto" w:sz="4" w:space="0"/>
              <w:right w:val="single" w:color="auto" w:sz="4" w:space="0"/>
            </w:tcBorders>
            <w:vAlign w:val="center"/>
          </w:tcPr>
          <w:p w14:paraId="5960E2A1">
            <w:pPr>
              <w:jc w:val="center"/>
              <w:rPr>
                <w:rFonts w:ascii="宋体" w:hAnsi="宋体" w:cs="宋体"/>
                <w:sz w:val="24"/>
                <w:szCs w:val="24"/>
              </w:rPr>
            </w:pPr>
            <w:r>
              <w:rPr>
                <w:rFonts w:hint="eastAsia" w:ascii="宋体" w:hAnsi="宋体" w:cs="宋体"/>
                <w:sz w:val="24"/>
                <w:szCs w:val="24"/>
              </w:rPr>
              <w:t>2</w:t>
            </w:r>
          </w:p>
        </w:tc>
        <w:tc>
          <w:tcPr>
            <w:tcW w:w="1559" w:type="dxa"/>
            <w:tcBorders>
              <w:top w:val="nil"/>
              <w:left w:val="single" w:color="auto" w:sz="4" w:space="0"/>
              <w:bottom w:val="single" w:color="auto" w:sz="4" w:space="0"/>
              <w:right w:val="single" w:color="auto" w:sz="4" w:space="0"/>
            </w:tcBorders>
            <w:vAlign w:val="center"/>
          </w:tcPr>
          <w:p w14:paraId="21D47494">
            <w:pPr>
              <w:rPr>
                <w:rFonts w:ascii="宋体" w:hAnsi="宋体" w:cs="宋体"/>
                <w:sz w:val="24"/>
                <w:szCs w:val="24"/>
              </w:rPr>
            </w:pPr>
            <w:r>
              <w:rPr>
                <w:rFonts w:hint="eastAsia" w:ascii="宋体" w:hAnsi="宋体" w:cs="宋体"/>
                <w:sz w:val="24"/>
                <w:szCs w:val="24"/>
              </w:rPr>
              <w:t>投标人业绩（15分）</w:t>
            </w:r>
          </w:p>
        </w:tc>
        <w:tc>
          <w:tcPr>
            <w:tcW w:w="6947" w:type="dxa"/>
            <w:tcBorders>
              <w:top w:val="nil"/>
              <w:left w:val="nil"/>
              <w:bottom w:val="single" w:color="auto" w:sz="4" w:space="0"/>
              <w:right w:val="single" w:color="auto" w:sz="4" w:space="0"/>
            </w:tcBorders>
            <w:vAlign w:val="center"/>
          </w:tcPr>
          <w:p w14:paraId="5AAE4576">
            <w:pPr>
              <w:spacing w:line="276" w:lineRule="auto"/>
              <w:rPr>
                <w:rFonts w:ascii="宋体" w:hAnsi="宋体" w:cs="宋体"/>
                <w:sz w:val="24"/>
                <w:szCs w:val="24"/>
              </w:rPr>
            </w:pPr>
            <w:r>
              <w:rPr>
                <w:rFonts w:hint="eastAsia" w:ascii="宋体" w:hAnsi="宋体" w:cs="宋体"/>
                <w:sz w:val="24"/>
                <w:szCs w:val="24"/>
              </w:rPr>
              <w:t>投标人自202</w:t>
            </w:r>
            <w:r>
              <w:rPr>
                <w:rFonts w:hint="eastAsia" w:ascii="宋体" w:hAnsi="宋体" w:cs="宋体"/>
                <w:sz w:val="24"/>
                <w:szCs w:val="24"/>
                <w:lang w:val="en-US" w:eastAsia="zh-CN"/>
              </w:rPr>
              <w:t>3</w:t>
            </w:r>
            <w:r>
              <w:rPr>
                <w:rFonts w:hint="eastAsia" w:ascii="宋体" w:hAnsi="宋体" w:cs="宋体"/>
                <w:sz w:val="24"/>
                <w:szCs w:val="24"/>
              </w:rPr>
              <w:t>年9月1日以来承担过类似服务业绩，时间以合同为准，有一项得5分； 满分15分。以上所有业绩提供服务合同复印件并加盖公章。（评分业绩和资格条件业绩不可兼得）</w:t>
            </w:r>
          </w:p>
        </w:tc>
      </w:tr>
      <w:tr w14:paraId="60196E54">
        <w:tblPrEx>
          <w:tblCellMar>
            <w:top w:w="0" w:type="dxa"/>
            <w:left w:w="108" w:type="dxa"/>
            <w:bottom w:w="0" w:type="dxa"/>
            <w:right w:w="108" w:type="dxa"/>
          </w:tblCellMar>
        </w:tblPrEx>
        <w:trPr>
          <w:trHeight w:val="973" w:hRule="atLeast"/>
        </w:trPr>
        <w:tc>
          <w:tcPr>
            <w:tcW w:w="1486" w:type="dxa"/>
            <w:tcBorders>
              <w:top w:val="single" w:color="auto" w:sz="4" w:space="0"/>
              <w:left w:val="single" w:color="auto" w:sz="4" w:space="0"/>
              <w:bottom w:val="single" w:color="auto" w:sz="4" w:space="0"/>
              <w:right w:val="single" w:color="auto" w:sz="4" w:space="0"/>
            </w:tcBorders>
            <w:vAlign w:val="center"/>
          </w:tcPr>
          <w:p w14:paraId="2EC171C3">
            <w:pPr>
              <w:jc w:val="center"/>
              <w:rPr>
                <w:rFonts w:ascii="宋体" w:hAnsi="宋体" w:cs="宋体"/>
                <w:sz w:val="24"/>
                <w:szCs w:val="24"/>
              </w:rPr>
            </w:pPr>
            <w:r>
              <w:rPr>
                <w:rFonts w:hint="eastAsia" w:ascii="宋体" w:hAnsi="宋体" w:cs="宋体"/>
                <w:sz w:val="24"/>
                <w:szCs w:val="24"/>
              </w:rPr>
              <w:t>3</w:t>
            </w:r>
          </w:p>
        </w:tc>
        <w:tc>
          <w:tcPr>
            <w:tcW w:w="1559" w:type="dxa"/>
            <w:tcBorders>
              <w:top w:val="single" w:color="auto" w:sz="4" w:space="0"/>
              <w:left w:val="single" w:color="auto" w:sz="4" w:space="0"/>
              <w:bottom w:val="single" w:color="auto" w:sz="4" w:space="0"/>
              <w:right w:val="single" w:color="auto" w:sz="4" w:space="0"/>
            </w:tcBorders>
            <w:vAlign w:val="center"/>
          </w:tcPr>
          <w:p w14:paraId="192A0BD7">
            <w:pPr>
              <w:ind w:firstLine="240" w:firstLineChars="100"/>
              <w:rPr>
                <w:rFonts w:ascii="宋体" w:hAnsi="宋体" w:cs="宋体"/>
                <w:sz w:val="24"/>
                <w:szCs w:val="24"/>
              </w:rPr>
            </w:pPr>
            <w:r>
              <w:rPr>
                <w:rFonts w:hint="eastAsia" w:ascii="宋体" w:hAnsi="宋体" w:cs="宋体"/>
                <w:sz w:val="24"/>
                <w:szCs w:val="24"/>
              </w:rPr>
              <w:t>企业资质（10分）</w:t>
            </w:r>
          </w:p>
        </w:tc>
        <w:tc>
          <w:tcPr>
            <w:tcW w:w="6947" w:type="dxa"/>
            <w:tcBorders>
              <w:top w:val="nil"/>
              <w:left w:val="nil"/>
              <w:bottom w:val="single" w:color="auto" w:sz="4" w:space="0"/>
              <w:right w:val="single" w:color="auto" w:sz="4" w:space="0"/>
            </w:tcBorders>
            <w:vAlign w:val="center"/>
          </w:tcPr>
          <w:p w14:paraId="75F5CAB7">
            <w:pPr>
              <w:spacing w:line="276" w:lineRule="auto"/>
              <w:rPr>
                <w:rFonts w:ascii="宋体" w:hAnsi="宋体" w:cs="宋体"/>
                <w:sz w:val="24"/>
                <w:szCs w:val="24"/>
              </w:rPr>
            </w:pPr>
            <w:r>
              <w:rPr>
                <w:rFonts w:hint="eastAsia" w:ascii="宋体" w:hAnsi="宋体" w:cs="宋体"/>
                <w:sz w:val="24"/>
                <w:szCs w:val="24"/>
              </w:rPr>
              <w:t>具有学校使用相关品牌复合机或打印机售后服务资质，每一个品牌得5分，满分10分。（提供证书复印件加盖公章）</w:t>
            </w:r>
          </w:p>
        </w:tc>
      </w:tr>
      <w:tr w14:paraId="1323EA8A">
        <w:tblPrEx>
          <w:tblCellMar>
            <w:top w:w="0" w:type="dxa"/>
            <w:left w:w="108" w:type="dxa"/>
            <w:bottom w:w="0" w:type="dxa"/>
            <w:right w:w="108" w:type="dxa"/>
          </w:tblCellMar>
        </w:tblPrEx>
        <w:trPr>
          <w:trHeight w:val="855" w:hRule="atLeast"/>
        </w:trPr>
        <w:tc>
          <w:tcPr>
            <w:tcW w:w="1486" w:type="dxa"/>
            <w:tcBorders>
              <w:top w:val="single" w:color="auto" w:sz="4" w:space="0"/>
              <w:left w:val="single" w:color="auto" w:sz="4" w:space="0"/>
              <w:bottom w:val="single" w:color="auto" w:sz="4" w:space="0"/>
              <w:right w:val="single" w:color="auto" w:sz="4" w:space="0"/>
            </w:tcBorders>
            <w:vAlign w:val="center"/>
          </w:tcPr>
          <w:p w14:paraId="2FDBFC0E">
            <w:pPr>
              <w:jc w:val="center"/>
              <w:rPr>
                <w:rFonts w:ascii="宋体" w:hAnsi="宋体" w:cs="宋体"/>
                <w:sz w:val="24"/>
                <w:szCs w:val="24"/>
              </w:rPr>
            </w:pPr>
            <w:r>
              <w:rPr>
                <w:rFonts w:hint="eastAsia" w:ascii="宋体" w:hAnsi="宋体" w:cs="宋体"/>
                <w:sz w:val="24"/>
                <w:szCs w:val="24"/>
              </w:rPr>
              <w:t>4</w:t>
            </w:r>
          </w:p>
        </w:tc>
        <w:tc>
          <w:tcPr>
            <w:tcW w:w="1559" w:type="dxa"/>
            <w:tcBorders>
              <w:top w:val="single" w:color="auto" w:sz="4" w:space="0"/>
              <w:left w:val="single" w:color="auto" w:sz="4" w:space="0"/>
              <w:bottom w:val="single" w:color="auto" w:sz="4" w:space="0"/>
              <w:right w:val="single" w:color="auto" w:sz="4" w:space="0"/>
            </w:tcBorders>
            <w:vAlign w:val="center"/>
          </w:tcPr>
          <w:p w14:paraId="25101769">
            <w:pPr>
              <w:rPr>
                <w:rFonts w:ascii="宋体" w:hAnsi="宋体" w:cs="宋体"/>
                <w:sz w:val="24"/>
                <w:szCs w:val="24"/>
              </w:rPr>
            </w:pPr>
            <w:r>
              <w:rPr>
                <w:rFonts w:hint="eastAsia" w:ascii="宋体" w:hAnsi="宋体" w:cs="宋体"/>
                <w:sz w:val="24"/>
                <w:szCs w:val="24"/>
              </w:rPr>
              <w:t>服务方案及服务满意度（45分）</w:t>
            </w:r>
          </w:p>
        </w:tc>
        <w:tc>
          <w:tcPr>
            <w:tcW w:w="6947" w:type="dxa"/>
            <w:tcBorders>
              <w:top w:val="nil"/>
              <w:left w:val="nil"/>
              <w:bottom w:val="single" w:color="auto" w:sz="4" w:space="0"/>
              <w:right w:val="single" w:color="auto" w:sz="4" w:space="0"/>
            </w:tcBorders>
            <w:vAlign w:val="center"/>
          </w:tcPr>
          <w:p w14:paraId="006F57BD">
            <w:pPr>
              <w:spacing w:line="276" w:lineRule="auto"/>
              <w:rPr>
                <w:rFonts w:ascii="宋体" w:hAnsi="宋体" w:cs="宋体"/>
                <w:sz w:val="24"/>
                <w:szCs w:val="24"/>
              </w:rPr>
            </w:pPr>
            <w:r>
              <w:rPr>
                <w:rFonts w:hint="eastAsia" w:ascii="宋体" w:hAnsi="宋体" w:cs="宋体"/>
                <w:sz w:val="24"/>
                <w:szCs w:val="24"/>
              </w:rPr>
              <w:t>投标人须提供整体的服务方案，包括针对不同情况下的服务质量保障、服务安排、售后调度等，评标委员会根据各投标人的方案进行综合评比，好得30-45分，较好得15-30分</w:t>
            </w:r>
            <w:bookmarkStart w:id="1" w:name="_GoBack"/>
            <w:bookmarkEnd w:id="1"/>
            <w:r>
              <w:rPr>
                <w:rFonts w:hint="eastAsia" w:ascii="宋体" w:hAnsi="宋体" w:cs="宋体"/>
                <w:sz w:val="24"/>
                <w:szCs w:val="24"/>
              </w:rPr>
              <w:t>，一般得0-15分，无不得分。</w:t>
            </w:r>
          </w:p>
        </w:tc>
      </w:tr>
    </w:tbl>
    <w:p w14:paraId="0C10016F">
      <w:pPr>
        <w:spacing w:line="360" w:lineRule="auto"/>
        <w:ind w:firstLine="723" w:firstLineChars="200"/>
        <w:jc w:val="center"/>
        <w:rPr>
          <w:rFonts w:ascii="宋体" w:hAnsi="宋体" w:cs="宋体"/>
          <w:b/>
          <w:bCs/>
          <w:sz w:val="36"/>
          <w:szCs w:val="36"/>
        </w:rPr>
      </w:pPr>
      <w:r>
        <w:rPr>
          <w:rFonts w:hint="eastAsia" w:ascii="宋体" w:hAnsi="宋体" w:cs="宋体"/>
          <w:b/>
          <w:bCs/>
          <w:sz w:val="36"/>
          <w:szCs w:val="36"/>
        </w:rPr>
        <w:t>评分标准表</w:t>
      </w:r>
    </w:p>
    <w:p w14:paraId="0757A486">
      <w:pPr>
        <w:spacing w:line="360" w:lineRule="auto"/>
        <w:rPr>
          <w:rFonts w:ascii="宋体" w:hAnsi="宋体" w:cs="宋体"/>
          <w:snapToGrid w:val="0"/>
          <w:sz w:val="24"/>
          <w:szCs w:val="24"/>
        </w:rPr>
      </w:pPr>
      <w:r>
        <w:rPr>
          <w:rFonts w:hint="eastAsia" w:ascii="宋体" w:hAnsi="宋体" w:cs="宋体"/>
          <w:snapToGrid w:val="0"/>
          <w:sz w:val="24"/>
          <w:szCs w:val="24"/>
        </w:rPr>
        <w:t>备注：</w:t>
      </w:r>
    </w:p>
    <w:p w14:paraId="54951D6F">
      <w:pPr>
        <w:spacing w:line="360" w:lineRule="auto"/>
        <w:ind w:firstLine="480" w:firstLineChars="200"/>
        <w:rPr>
          <w:rFonts w:ascii="宋体" w:hAnsi="宋体" w:cs="宋体"/>
          <w:snapToGrid w:val="0"/>
          <w:sz w:val="24"/>
          <w:szCs w:val="24"/>
        </w:rPr>
      </w:pPr>
      <w:r>
        <w:rPr>
          <w:rFonts w:hint="eastAsia" w:ascii="宋体" w:hAnsi="宋体" w:cs="宋体"/>
          <w:snapToGrid w:val="0"/>
          <w:sz w:val="24"/>
          <w:szCs w:val="24"/>
        </w:rPr>
        <w:t>1、评标委员会成员根据上述评分细则，各自进行打分，并记录在评分表中，然后平均计算出各投标单位的得分值。</w:t>
      </w:r>
    </w:p>
    <w:p w14:paraId="15B1EC61">
      <w:pPr>
        <w:spacing w:line="360" w:lineRule="auto"/>
        <w:ind w:firstLine="480" w:firstLineChars="200"/>
        <w:rPr>
          <w:rFonts w:ascii="宋体" w:hAnsi="宋体" w:cs="宋体"/>
          <w:snapToGrid w:val="0"/>
          <w:sz w:val="24"/>
          <w:szCs w:val="24"/>
        </w:rPr>
      </w:pPr>
      <w:r>
        <w:rPr>
          <w:rFonts w:hint="eastAsia" w:ascii="宋体" w:hAnsi="宋体" w:cs="宋体"/>
          <w:snapToGrid w:val="0"/>
          <w:sz w:val="24"/>
          <w:szCs w:val="24"/>
        </w:rPr>
        <w:t>2、投标人所提供的所有业绩材料必须真实可靠，如发现投标人弄虚作假，则取消其本服务的入选资格。</w:t>
      </w:r>
    </w:p>
    <w:p w14:paraId="3290D761">
      <w:pPr>
        <w:spacing w:line="360" w:lineRule="auto"/>
        <w:ind w:firstLine="477" w:firstLineChars="199"/>
        <w:rPr>
          <w:rFonts w:ascii="宋体" w:hAnsi="宋体" w:cs="宋体"/>
          <w:snapToGrid w:val="0"/>
          <w:sz w:val="24"/>
          <w:szCs w:val="24"/>
        </w:rPr>
      </w:pPr>
      <w:r>
        <w:rPr>
          <w:rFonts w:hint="eastAsia" w:ascii="宋体" w:hAnsi="宋体" w:cs="宋体"/>
          <w:snapToGrid w:val="0"/>
          <w:sz w:val="24"/>
          <w:szCs w:val="24"/>
        </w:rPr>
        <w:t>3、服务方案最终得分：评标委员会组成人员，算术平均值为投标人最终得分。</w:t>
      </w:r>
    </w:p>
    <w:p w14:paraId="780BBF69">
      <w:pPr>
        <w:spacing w:line="360" w:lineRule="auto"/>
        <w:ind w:firstLine="477" w:firstLineChars="199"/>
        <w:rPr>
          <w:rFonts w:ascii="宋体" w:hAnsi="宋体" w:cs="宋体"/>
          <w:snapToGrid w:val="0"/>
          <w:sz w:val="24"/>
          <w:szCs w:val="24"/>
        </w:rPr>
      </w:pPr>
      <w:r>
        <w:rPr>
          <w:rFonts w:hint="eastAsia" w:ascii="宋体" w:hAnsi="宋体" w:cs="宋体"/>
          <w:snapToGrid w:val="0"/>
          <w:sz w:val="24"/>
          <w:szCs w:val="24"/>
        </w:rPr>
        <w:t>4、评委一致认定投标人报价低于企业成本的，投标文件作废标处理。</w:t>
      </w:r>
    </w:p>
    <w:p w14:paraId="49CDD3E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SI宋体-GB2312">
    <w:panose1 w:val="02000500000000000000"/>
    <w:charset w:val="86"/>
    <w:family w:val="auto"/>
    <w:pitch w:val="default"/>
    <w:sig w:usb0="800002AF" w:usb1="08476CF8" w:usb2="00000010"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44B"/>
    <w:rsid w:val="00043645"/>
    <w:rsid w:val="000F2813"/>
    <w:rsid w:val="001F444B"/>
    <w:rsid w:val="0021591D"/>
    <w:rsid w:val="003801BF"/>
    <w:rsid w:val="00541D63"/>
    <w:rsid w:val="006C5135"/>
    <w:rsid w:val="00703D9B"/>
    <w:rsid w:val="00711EB0"/>
    <w:rsid w:val="007C0ADC"/>
    <w:rsid w:val="008273D7"/>
    <w:rsid w:val="009C46BF"/>
    <w:rsid w:val="00AC3FCE"/>
    <w:rsid w:val="00C30B0B"/>
    <w:rsid w:val="00DC3B84"/>
    <w:rsid w:val="00DC60BD"/>
    <w:rsid w:val="00DF6B9D"/>
    <w:rsid w:val="00E8285F"/>
    <w:rsid w:val="00FD0BD7"/>
    <w:rsid w:val="77FFAA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kern w:val="0"/>
      <w:sz w:val="20"/>
      <w:szCs w:val="20"/>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Times New Roman" w:hAnsi="Times New Roman" w:eastAsia="宋体" w:cs="Times New Roman"/>
      <w:kern w:val="0"/>
      <w:sz w:val="18"/>
      <w:szCs w:val="18"/>
    </w:rPr>
  </w:style>
  <w:style w:type="character" w:customStyle="1" w:styleId="7">
    <w:name w:val="页脚 Char"/>
    <w:basedOn w:val="5"/>
    <w:link w:val="2"/>
    <w:qFormat/>
    <w:uiPriority w:val="99"/>
    <w:rPr>
      <w:rFonts w:ascii="Times New Roman" w:hAnsi="Times New Roman" w:eastAsia="宋体" w:cs="Times New Roman"/>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Pages>
  <Words>95</Words>
  <Characters>542</Characters>
  <Lines>4</Lines>
  <Paragraphs>1</Paragraphs>
  <TotalTime>11</TotalTime>
  <ScaleCrop>false</ScaleCrop>
  <LinksUpToDate>false</LinksUpToDate>
  <CharactersWithSpaces>636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2023-08-22T11:44:00Z</dcterms:created>
  <dc:creator>guhf</dc:creator>
  <cp:lastModifiedBy>苏州建设交通高等职业技术学校</cp:lastModifiedBy>
  <dcterms:modified xsi:type="dcterms:W3CDTF">2026-08-21T09:23:57Z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AB8D2AA399689E4BADA8876A84E87756_42</vt:lpwstr>
  </property>
</Properties>
</file>